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649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auto"/>
          <w:spacing w:val="0"/>
          <w:kern w:val="0"/>
          <w:sz w:val="44"/>
          <w:szCs w:val="44"/>
          <w:shd w:val="clear" w:color="090000" w:fill="FFFFFF"/>
          <w:lang w:val="en-US" w:eastAsia="zh-CN"/>
        </w:rPr>
      </w:pPr>
    </w:p>
    <w:p w14:paraId="6C701E3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44"/>
          <w:szCs w:val="44"/>
        </w:rPr>
      </w:pPr>
      <w:r>
        <w:rPr>
          <w:rFonts w:hint="eastAsia" w:ascii="宋体" w:hAnsi="宋体" w:eastAsia="宋体" w:cs="宋体"/>
          <w:i w:val="0"/>
          <w:iCs w:val="0"/>
          <w:caps w:val="0"/>
          <w:color w:val="auto"/>
          <w:spacing w:val="0"/>
          <w:kern w:val="0"/>
          <w:sz w:val="44"/>
          <w:szCs w:val="44"/>
          <w:shd w:val="clear" w:color="090000" w:fill="FFFFFF"/>
          <w:lang w:val="en-US" w:eastAsia="zh-CN"/>
        </w:rPr>
        <w:t>密山市重大行政决策目录管理办法</w:t>
      </w:r>
    </w:p>
    <w:p w14:paraId="5A3C5BE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 </w:t>
      </w:r>
    </w:p>
    <w:p w14:paraId="37A943E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第一条  为规范政府重大行政决策活动，促进科学、民主、依法决策，保障公民、法人和其他组织的合法权益，根据《重大行政决策程序暂行条例》和《黑龙江省重大行政决策程序暂行规定》等有关规定，结合我市实际，制定本办法。</w:t>
      </w:r>
    </w:p>
    <w:p w14:paraId="28E4493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第二条  市人民政府重大行政决策事项目录的编制、调整及其管理，适用本办法。</w:t>
      </w:r>
    </w:p>
    <w:p w14:paraId="6627BC7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第三条  市人民政府统一领导本市重大行政决策目录管理工作。</w:t>
      </w:r>
    </w:p>
    <w:p w14:paraId="0C6D9B7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市人民政府办公室负责组织实施本办法。</w:t>
      </w:r>
    </w:p>
    <w:p w14:paraId="0506B8A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市司法行政部门负责组织重大行政决策事项目录编制以及目录调整的合法性审查工作。</w:t>
      </w:r>
    </w:p>
    <w:p w14:paraId="41853E5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市人民政府相关工作部门和派出机构负责重大行政决策事项的申报、执行工作。</w:t>
      </w:r>
    </w:p>
    <w:p w14:paraId="09F36BF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市人民政府督查工作机构负责对决策目录的编制、管理、执行等情况进行督查。</w:t>
      </w:r>
    </w:p>
    <w:p w14:paraId="40234C9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第四条  市人民政府实行重大行政决策事项目录化管理，编制市人民政府重大行政决策事项目录，并在市人民政府门户网站公布。</w:t>
      </w:r>
    </w:p>
    <w:p w14:paraId="10FCEAF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第五条  重大行政决策事项目录实行动态管理。市人民政府各部门及派出机构应当根据法律、法规、规章及上级有关规范性文件的规定以及我市经济社会发展的情况，于每年元月15日前对市人民政府重大行政决策事项进行梳理，向市政府办公室提出新增或调整决策事项建议，市政府办公室和司法行政部门应当及时审核汇总后提请市人民政府修订完善重大行政决策事项目录。</w:t>
      </w:r>
    </w:p>
    <w:p w14:paraId="76914D4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0"/>
          <w:szCs w:val="30"/>
        </w:rPr>
      </w:pPr>
      <w:r>
        <w:rPr>
          <w:rFonts w:hint="eastAsia" w:ascii="仿宋" w:hAnsi="仿宋" w:eastAsia="仿宋" w:cs="仿宋"/>
          <w:i w:val="0"/>
          <w:iCs w:val="0"/>
          <w:caps w:val="0"/>
          <w:color w:val="auto"/>
          <w:spacing w:val="0"/>
          <w:kern w:val="0"/>
          <w:sz w:val="32"/>
          <w:szCs w:val="32"/>
          <w:shd w:val="clear" w:color="090000" w:fill="FFFFFF"/>
          <w:lang w:val="en-US" w:eastAsia="zh-CN"/>
        </w:rPr>
        <w:t>第六条  </w:t>
      </w:r>
      <w:r>
        <w:rPr>
          <w:rFonts w:hint="eastAsia" w:ascii="仿宋" w:hAnsi="仿宋" w:eastAsia="仿宋" w:cs="仿宋"/>
          <w:i w:val="0"/>
          <w:iCs w:val="0"/>
          <w:caps w:val="0"/>
          <w:color w:val="auto"/>
          <w:spacing w:val="0"/>
          <w:kern w:val="0"/>
          <w:sz w:val="30"/>
          <w:szCs w:val="30"/>
          <w:shd w:val="clear" w:color="090000" w:fill="FFFFFF"/>
          <w:lang w:val="en-US" w:eastAsia="zh-CN"/>
        </w:rPr>
        <w:t>对纳入重大行政决策目录的事项，决策承办单位应当严格按照公众参与、专家论证、风险评估、合法性审查和集体讨论决定等法定程序实施决策；未履行重大行政决策相关程序的，不得提请市人民政府审议。</w:t>
      </w:r>
    </w:p>
    <w:p w14:paraId="546D2A4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第七条  决策承办单位应当按照重大行政决策程序及时制订相关工作实施方案，加强实施监督。</w:t>
      </w:r>
    </w:p>
    <w:p w14:paraId="41824FE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第八条  市人民政府在政府门户网站开设重大行政决策信息专题网页，发布重大行政决策信息，征集社会公众的建议和意见。</w:t>
      </w:r>
    </w:p>
    <w:p w14:paraId="43B2E2F1">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重大行政决策信息，包括决策目录和有关通告、通知等，应当通过专题网页发布，方便社会公众通过专题网页进行重大行政决策信息的查询、提交建议和意见。</w:t>
      </w:r>
    </w:p>
    <w:p w14:paraId="692C36C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i w:val="0"/>
          <w:iCs w:val="0"/>
          <w:caps w:val="0"/>
          <w:color w:val="auto"/>
          <w:spacing w:val="0"/>
          <w:kern w:val="0"/>
          <w:sz w:val="32"/>
          <w:szCs w:val="32"/>
          <w:shd w:val="clear" w:color="090000" w:fill="FFFFFF"/>
          <w:lang w:val="en-US" w:eastAsia="zh-CN"/>
        </w:rPr>
      </w:pPr>
      <w:r>
        <w:rPr>
          <w:rFonts w:hint="eastAsia" w:ascii="仿宋" w:hAnsi="仿宋" w:eastAsia="仿宋" w:cs="仿宋"/>
          <w:i w:val="0"/>
          <w:iCs w:val="0"/>
          <w:caps w:val="0"/>
          <w:color w:val="auto"/>
          <w:spacing w:val="0"/>
          <w:kern w:val="0"/>
          <w:sz w:val="32"/>
          <w:szCs w:val="32"/>
          <w:shd w:val="clear" w:color="090000" w:fill="FFFFFF"/>
          <w:lang w:val="en-US" w:eastAsia="zh-CN"/>
        </w:rPr>
        <w:t>第九条  公民、法人或者其他组织可以就决策目录事项提出意见和建议，决策承办部门应当及时处理有关意见和建议，并在办理相关意见和建议后集中反馈处理情况。</w:t>
      </w:r>
    </w:p>
    <w:p w14:paraId="48F48FB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第十条  决策承办单位应当建立重大行政决策的档案管理制度，将履行决策程序形成的记录、材料及时完整归档，实行决策程序全过程记录。</w:t>
      </w:r>
    </w:p>
    <w:p w14:paraId="01D9DC6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第十一条  市人民政府工作部门及派出机构执行本办法情况纳入年度绩效考核和法治政府建设考核。对考核中发现违反本办法情节严重的，及时移送监察机关处理。</w:t>
      </w:r>
    </w:p>
    <w:p w14:paraId="46080DA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第十二条  行政机关违反本办法，造成不良社会影响的，由上级主管部门责令改正；拒不改正或造成严重后果的，依照有关规定，对负有直接领导责任的主管人员和其他责任人员予以责任追究；涉嫌犯罪的，移送司法机关依法追究刑事责任。</w:t>
      </w:r>
    </w:p>
    <w:p w14:paraId="39B1313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第十三条   各乡镇人民政府，市人民政府工作部门、派出机构、法律法规授权的具有管理公共事务职能的组织，对本单位重大行政决策事项实行目录管理，参照本办法编制决策事项目录，并抄送市司法行政部门备案。</w:t>
      </w:r>
    </w:p>
    <w:p w14:paraId="0AB32DE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第十四条   本办法自发布之日起施行。</w:t>
      </w:r>
    </w:p>
    <w:p w14:paraId="577B9E4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 </w:t>
      </w:r>
    </w:p>
    <w:p w14:paraId="6AC481F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附：密山市人民政府重大行政决策事项目录</w:t>
      </w:r>
    </w:p>
    <w:p w14:paraId="49E74B6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 </w:t>
      </w:r>
    </w:p>
    <w:p w14:paraId="129A815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r>
        <w:rPr>
          <w:rFonts w:hint="eastAsia" w:ascii="仿宋" w:hAnsi="仿宋" w:eastAsia="仿宋" w:cs="仿宋"/>
          <w:i w:val="0"/>
          <w:iCs w:val="0"/>
          <w:caps w:val="0"/>
          <w:color w:val="auto"/>
          <w:spacing w:val="0"/>
          <w:kern w:val="0"/>
          <w:sz w:val="32"/>
          <w:szCs w:val="32"/>
          <w:shd w:val="clear" w:color="090000" w:fill="FFFFFF"/>
          <w:lang w:val="en-US" w:eastAsia="zh-CN"/>
        </w:rPr>
        <w:br w:type="textWrapping"/>
      </w:r>
    </w:p>
    <w:p w14:paraId="123EC45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3683F03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7DBB9B0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附表</w:t>
      </w:r>
    </w:p>
    <w:p w14:paraId="7E861BA6">
      <w:pPr>
        <w:widowControl/>
        <w:pBdr>
          <w:top w:val="none" w:color="auto" w:sz="0" w:space="0"/>
          <w:left w:val="none" w:color="auto" w:sz="0" w:space="0"/>
          <w:bottom w:val="none" w:color="auto" w:sz="0" w:space="0"/>
          <w:right w:val="none" w:color="auto" w:sz="0" w:space="0"/>
        </w:pBdr>
        <w:spacing w:before="217" w:beforeAutospacing="0" w:after="217" w:afterAutospacing="0" w:line="600" w:lineRule="atLeast"/>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密山市人民政府重大行政决策事项目录</w:t>
      </w:r>
    </w:p>
    <w:tbl>
      <w:tblPr>
        <w:tblStyle w:val="5"/>
        <w:tblW w:w="9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1507"/>
        <w:gridCol w:w="5160"/>
        <w:gridCol w:w="2375"/>
      </w:tblGrid>
      <w:tr w14:paraId="312B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289636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序号</w:t>
            </w:r>
          </w:p>
        </w:tc>
        <w:tc>
          <w:tcPr>
            <w:tcW w:w="15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B23A7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类  别</w:t>
            </w:r>
          </w:p>
        </w:tc>
        <w:tc>
          <w:tcPr>
            <w:tcW w:w="5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57937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决  策  事  项</w:t>
            </w:r>
          </w:p>
        </w:tc>
        <w:tc>
          <w:tcPr>
            <w:tcW w:w="23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742BB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承办单位</w:t>
            </w:r>
          </w:p>
        </w:tc>
      </w:tr>
      <w:tr w14:paraId="46A4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31F09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一</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81E45C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制定有关公共服务的重大政策措施</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0BC83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1．教育人事制度改革重大政策调整</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F253B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4FEF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BD1F9B">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E832DD0">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63D90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2．招生考试、教育收费政策的重大调整</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2668D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3D7E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1A55C3">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B109F55">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B117A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3．中小学、幼儿园布局调整与撤并</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A3633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6A9D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97219B">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E36EE39">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AEBFA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4．大班额化解</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8BF1C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63D7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86638E">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0A1EACB">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88F99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5．公立医院改革</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8413B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市卫健局</w:t>
            </w:r>
          </w:p>
        </w:tc>
      </w:tr>
      <w:tr w14:paraId="6BF4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EBA6A8">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915FF51">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4144A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6．计划生育利益导向、计划生育特殊困难家庭扶助和促进计划生育家庭发展机制的建立</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A2054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市卫健局</w:t>
            </w:r>
          </w:p>
        </w:tc>
      </w:tr>
      <w:tr w14:paraId="5736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257122">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682AFBE">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F48388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7．推进分级诊疗制度建设</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445B0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市卫健局</w:t>
            </w:r>
          </w:p>
        </w:tc>
      </w:tr>
      <w:tr w14:paraId="0E59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360EB3">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552E956">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B855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8．开展爱国卫生运动</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FEDCC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市卫健局</w:t>
            </w:r>
          </w:p>
        </w:tc>
      </w:tr>
      <w:tr w14:paraId="5A4C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BD702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B1867C2">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DE8BB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9．基层医疗卫生服务体系三年提升计划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22838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市卫健局</w:t>
            </w:r>
          </w:p>
        </w:tc>
      </w:tr>
      <w:tr w14:paraId="032B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BA8A15">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26E7CBD4">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53F7A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10．制定推进全市加快构建现代公共文化服务体系的重大政策措施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8D199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市文广体旅局</w:t>
            </w:r>
          </w:p>
        </w:tc>
      </w:tr>
      <w:tr w14:paraId="514F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761F8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86ED945">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03C64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11．制定推动全市文艺创作生产、促进文化旅游产业发展的政策措施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FB4933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市文广体旅局</w:t>
            </w:r>
          </w:p>
        </w:tc>
      </w:tr>
      <w:tr w14:paraId="6007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CFA71F">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2CDA864">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ACFCA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12．制定推动全市体育产业发展促进体育消费的政策措施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82EE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市文广体旅局</w:t>
            </w:r>
          </w:p>
        </w:tc>
      </w:tr>
      <w:tr w14:paraId="6660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59F70B">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3552EAA">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B175C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13．制定既有住宅增设电梯的政策措施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39998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239D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5D425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二</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924DB1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制定有关市场监管的重大政策措施</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931A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14．制定食品、药品、特种设备安全领域的重大政策措施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B84D6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4A88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398B73">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4A9D307">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56543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15．制定工业产品质量安全领域的重大政策措施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36FB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65ED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F5794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89AA826">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06481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16．制定商事登记等市场监管领域的重大政策措施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3F5A8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710F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DFF7F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三</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F3DDF7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制定有关社会管理的重大政策措施</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AE8A1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17．拟定或修改国有土地上房屋征收与补偿办法</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D982B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7F7C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C68546">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3D5497A">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9D3A3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18．拟定或修改征地补偿标准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3F2B0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4939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12B208">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1D48AC0">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F7F63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19．拟定或修改集体土地征收与房屋拆迁补偿安置办法</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FAEBF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7F1B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B2EC9B">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21E43012">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D4ADB4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20．拟定非农业建设占用基本农田方案</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5F3A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7392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502C4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237F2017">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ECC95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21．拟定或修改基准地价</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86D99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6131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5FE59D">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636114B">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6CCF6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22．城乡最低生活保障标准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5B5B1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市民政局</w:t>
            </w:r>
          </w:p>
        </w:tc>
      </w:tr>
      <w:tr w14:paraId="71ED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7E70E8">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E5CCFD8">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C2CC7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23．农村五保分散供养标准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3C38A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市民政局</w:t>
            </w:r>
          </w:p>
        </w:tc>
      </w:tr>
      <w:tr w14:paraId="2F50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22F174">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20BE63D">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2E93E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24．市城区低收入家庭认定标准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E9B923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市民政局</w:t>
            </w:r>
          </w:p>
        </w:tc>
      </w:tr>
      <w:tr w14:paraId="3EEB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89DEA1">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7713C6C">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2B0C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25．全市最低工资标准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97171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市人社障局</w:t>
            </w:r>
          </w:p>
        </w:tc>
      </w:tr>
      <w:tr w14:paraId="5116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D156C5">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F55588B">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9F465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26．城乡社会保险及其补交保险标准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8C6D3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市人社局、</w:t>
            </w:r>
          </w:p>
          <w:p w14:paraId="6B2E16F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市医保局</w:t>
            </w:r>
          </w:p>
        </w:tc>
      </w:tr>
      <w:tr w14:paraId="05B7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395C97">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44F3CC4">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17FA1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27．城乡劳动者职业培训方案的制定</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00102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市人社局</w:t>
            </w:r>
          </w:p>
        </w:tc>
      </w:tr>
      <w:tr w14:paraId="2579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66EA0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四</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1969BA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制定有关环境保护的重大政策措施</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30B3C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28．重点流域、区域污染防治</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6673E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25A5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82F01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FF0C05A">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C0861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29．市城区饮用水水源保护</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387D4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15B9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B01DF5">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C32195A">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AB5FC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30．主要污染物排放总量控制和减排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EE0B5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59A0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3F5A28">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D5A2736">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1DB4C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31．重大环境污染问题和各类污染源的整治</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ED69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1E47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1C7BE2">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278CDBD">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509014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32．湿地保护</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A0A5C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市林草局</w:t>
            </w:r>
          </w:p>
        </w:tc>
      </w:tr>
      <w:tr w14:paraId="397B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restart"/>
            <w:tcBorders>
              <w:top w:val="nil"/>
              <w:left w:val="single" w:color="auto" w:sz="8" w:space="0"/>
              <w:bottom w:val="nil"/>
              <w:right w:val="single" w:color="auto" w:sz="8" w:space="0"/>
            </w:tcBorders>
            <w:tcMar>
              <w:top w:w="0" w:type="dxa"/>
              <w:left w:w="108" w:type="dxa"/>
              <w:bottom w:w="0" w:type="dxa"/>
              <w:right w:w="108" w:type="dxa"/>
            </w:tcMar>
            <w:vAlign w:val="center"/>
          </w:tcPr>
          <w:p w14:paraId="1BFF0DB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五</w:t>
            </w:r>
          </w:p>
        </w:tc>
        <w:tc>
          <w:tcPr>
            <w:tcW w:w="1507" w:type="dxa"/>
            <w:vMerge w:val="restart"/>
            <w:tcBorders>
              <w:top w:val="nil"/>
              <w:left w:val="nil"/>
              <w:bottom w:val="nil"/>
              <w:right w:val="single" w:color="auto" w:sz="8" w:space="0"/>
            </w:tcBorders>
            <w:tcMar>
              <w:top w:w="0" w:type="dxa"/>
              <w:left w:w="108" w:type="dxa"/>
              <w:bottom w:w="0" w:type="dxa"/>
              <w:right w:w="108" w:type="dxa"/>
            </w:tcMar>
            <w:vAlign w:val="center"/>
          </w:tcPr>
          <w:p w14:paraId="1A77CEC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制定经济和社会发展等方面的重要规划</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81D82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33．国民经济和社会发展中长期规划、年度计划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0C534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3CF3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182C938">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6B32D82D">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6A2E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34．转型发展规划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0B9CC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7700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127B99D9">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4FA287A6">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228B2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35．统筹城乡一体化规划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A097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3022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3A44D644">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0DBBD6DA">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7976D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36．国土空间规划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83AA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62A5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67C1E8C">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7274DE88">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56327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37．土地利用年度计划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F255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6A30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nil"/>
              <w:right w:val="single" w:color="auto" w:sz="8" w:space="0"/>
            </w:tcBorders>
            <w:tcMar>
              <w:top w:w="0" w:type="dxa"/>
              <w:left w:w="108" w:type="dxa"/>
              <w:bottom w:w="0" w:type="dxa"/>
              <w:right w:w="108" w:type="dxa"/>
            </w:tcMar>
            <w:vAlign w:val="center"/>
          </w:tcPr>
          <w:p w14:paraId="0A88FB6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五</w:t>
            </w:r>
          </w:p>
        </w:tc>
        <w:tc>
          <w:tcPr>
            <w:tcW w:w="1507" w:type="dxa"/>
            <w:vMerge w:val="restart"/>
            <w:tcBorders>
              <w:top w:val="nil"/>
              <w:left w:val="nil"/>
              <w:bottom w:val="nil"/>
              <w:right w:val="single" w:color="auto" w:sz="8" w:space="0"/>
            </w:tcBorders>
            <w:tcMar>
              <w:top w:w="0" w:type="dxa"/>
              <w:left w:w="108" w:type="dxa"/>
              <w:bottom w:w="0" w:type="dxa"/>
              <w:right w:w="108" w:type="dxa"/>
            </w:tcMar>
            <w:vAlign w:val="center"/>
          </w:tcPr>
          <w:p w14:paraId="7E0A56B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制定经济和社会发展等方面的重要规划</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21A47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38．国有建设用地年度供应计划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D37A6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213C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F646D40">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41C440DD">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A6F12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39．产业发展规划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BAE08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567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330567F9">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7E5ABAB5">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6150EB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40．重要区域规划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EC7B2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20F5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088BDEDA">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096A32CD">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75AFA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41．控制性详细规划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89AC0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5F63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024579C">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5261BBC1">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94169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42．城市道路交通管理及交通设施建设专项规划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9E999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市交警大队</w:t>
            </w:r>
          </w:p>
        </w:tc>
      </w:tr>
      <w:tr w14:paraId="043D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95FCE20">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22A83090">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04CD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43．城市供水设施专项规划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5BF05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2964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345F36F8">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4A00DAF5">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401CC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44．城市排水设施专项规划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7387D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6EB2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00DF4252">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519086B0">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975D8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45．供电设施专项规划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B579B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市信局</w:t>
            </w:r>
          </w:p>
        </w:tc>
      </w:tr>
      <w:tr w14:paraId="3890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30F48E9B">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29286167">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340E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46．燃气设施专项规划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06A71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6DC9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4BA7BA4C">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239436E9">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83AC5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47．各类环境保护专项规划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C3F72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2BB3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6C67C27">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1D8B8C94">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30A3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48．城市绿化专项规划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03E2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274C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4A850787">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799ECA15">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E9B92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49．公园建设专项规划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E8B3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499A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770C0A02">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5B19D419">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247D1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50．保障性住房建设专项规划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67618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75EB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1F4FDC00">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6C6E9442">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CB07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51．城市公共交通发展规划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3F3D1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市交通运输局</w:t>
            </w:r>
          </w:p>
        </w:tc>
      </w:tr>
      <w:tr w14:paraId="192B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5F05DB9">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25B92DCD">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B175B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52．全市综合运输体系规划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1B0F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市交通运输局</w:t>
            </w:r>
          </w:p>
        </w:tc>
      </w:tr>
      <w:tr w14:paraId="7A75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231ACD45">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1AAFDF8E">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150C9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53．城市重大建设项目的选址</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988B5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2239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465A346F">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6C5EB1E6">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42D1D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54．公共停车场专项规划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ADC0B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32D6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18D70134">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1F27D9F0">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FB3D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55．预拌混凝土、预拌砂浆发展规划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8D654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2A0C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73977EB0">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2EA8BCC9">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4F05D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56．教育发展专项规划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6D5F3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1CFB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34464A88">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2D712FE5">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C6F228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57．就业发展专项规划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0ADA0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市人社局</w:t>
            </w:r>
          </w:p>
        </w:tc>
      </w:tr>
      <w:tr w14:paraId="32D3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46EAD350">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050497AC">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F8D6A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58．疾病预防控制规划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85C6F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市卫健局</w:t>
            </w:r>
          </w:p>
        </w:tc>
      </w:tr>
      <w:tr w14:paraId="1CD4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3" w:type="dxa"/>
            <w:vMerge w:val="restart"/>
            <w:tcBorders>
              <w:top w:val="nil"/>
              <w:left w:val="single" w:color="auto" w:sz="8" w:space="0"/>
              <w:bottom w:val="nil"/>
              <w:right w:val="single" w:color="auto" w:sz="8" w:space="0"/>
            </w:tcBorders>
            <w:tcMar>
              <w:top w:w="0" w:type="dxa"/>
              <w:left w:w="108" w:type="dxa"/>
              <w:bottom w:w="0" w:type="dxa"/>
              <w:right w:w="108" w:type="dxa"/>
            </w:tcMar>
            <w:vAlign w:val="center"/>
          </w:tcPr>
          <w:p w14:paraId="7E6C10F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五</w:t>
            </w:r>
          </w:p>
        </w:tc>
        <w:tc>
          <w:tcPr>
            <w:tcW w:w="1507" w:type="dxa"/>
            <w:vMerge w:val="restart"/>
            <w:tcBorders>
              <w:top w:val="nil"/>
              <w:left w:val="nil"/>
              <w:bottom w:val="nil"/>
              <w:right w:val="single" w:color="auto" w:sz="8" w:space="0"/>
            </w:tcBorders>
            <w:tcMar>
              <w:top w:w="0" w:type="dxa"/>
              <w:left w:w="108" w:type="dxa"/>
              <w:bottom w:w="0" w:type="dxa"/>
              <w:right w:w="108" w:type="dxa"/>
            </w:tcMar>
            <w:vAlign w:val="center"/>
          </w:tcPr>
          <w:p w14:paraId="51EFCF4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制定经济和社会发展等方面的重要规划</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8BC8A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59．防洪专项规划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ED1F9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市水务局</w:t>
            </w:r>
          </w:p>
        </w:tc>
      </w:tr>
      <w:tr w14:paraId="26A0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1119EDE4">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28171BD3">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0A5C7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60．成品油分销体系发展规划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72FF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市商务局</w:t>
            </w:r>
          </w:p>
        </w:tc>
      </w:tr>
      <w:tr w14:paraId="5E5A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3"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B84D5F4">
            <w:pPr>
              <w:rPr>
                <w:rFonts w:hint="eastAsia" w:ascii="仿宋" w:hAnsi="仿宋" w:eastAsia="仿宋" w:cs="仿宋"/>
                <w:color w:val="auto"/>
                <w:sz w:val="32"/>
                <w:szCs w:val="32"/>
              </w:rPr>
            </w:pPr>
          </w:p>
        </w:tc>
        <w:tc>
          <w:tcPr>
            <w:tcW w:w="1507" w:type="dxa"/>
            <w:vMerge w:val="continue"/>
            <w:tcBorders>
              <w:top w:val="nil"/>
              <w:left w:val="nil"/>
              <w:bottom w:val="nil"/>
              <w:right w:val="single" w:color="auto" w:sz="8" w:space="0"/>
            </w:tcBorders>
            <w:tcMar>
              <w:top w:w="0" w:type="dxa"/>
              <w:left w:w="108" w:type="dxa"/>
              <w:bottom w:w="0" w:type="dxa"/>
              <w:right w:w="108" w:type="dxa"/>
            </w:tcMar>
            <w:vAlign w:val="center"/>
          </w:tcPr>
          <w:p w14:paraId="794BB71B">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DD9A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61．其他相关的专项规划</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009DC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市直相关部门</w:t>
            </w:r>
          </w:p>
        </w:tc>
      </w:tr>
      <w:tr w14:paraId="6EF2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6DD55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六</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63CECA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财政预决算编制及重大财政资金安排</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F4B810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62．编制市本级年度预算草案、决算草案、预算调整方案草案</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337D6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市财政局</w:t>
            </w:r>
          </w:p>
        </w:tc>
      </w:tr>
      <w:tr w14:paraId="4DEF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9229F5">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9263733">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D9033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63．一次性安排超过1000万元的财政资金（或潜在的需由财政承担资金责任的项目）</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D9511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市财政局</w:t>
            </w:r>
          </w:p>
        </w:tc>
      </w:tr>
      <w:tr w14:paraId="63B0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AB684E">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D96285C">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060AA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64．政府对重大建设项目直接投资2000万元以上的</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03982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市财政局</w:t>
            </w:r>
          </w:p>
        </w:tc>
      </w:tr>
      <w:tr w14:paraId="0EBB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9B8DE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七</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3D6BED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国有资产处置</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467945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65．一次性处置500万元以上的国有企业资产</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18019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市财政局</w:t>
            </w:r>
          </w:p>
        </w:tc>
      </w:tr>
      <w:tr w14:paraId="2C10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5E8015">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A6DF7C0">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C40B3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66．一次性处置500万元以上的行政事业单位国有资产</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4DF50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市财政局</w:t>
            </w:r>
          </w:p>
        </w:tc>
      </w:tr>
      <w:tr w14:paraId="0B1B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7DFEB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八</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9CB836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税费调整、权限内政府定价的重要商品和重要服务价格的核准</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4F43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67．城镇土地使用税的调整方案</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45CD7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市财政局</w:t>
            </w:r>
          </w:p>
        </w:tc>
      </w:tr>
      <w:tr w14:paraId="53E0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3CAC1A">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281B259">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7F253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68．</w:t>
            </w:r>
            <w:r>
              <w:rPr>
                <w:rFonts w:hint="eastAsia" w:ascii="仿宋" w:hAnsi="仿宋" w:eastAsia="仿宋" w:cs="仿宋"/>
                <w:color w:val="auto"/>
                <w:spacing w:val="-4"/>
                <w:kern w:val="0"/>
                <w:sz w:val="32"/>
                <w:szCs w:val="32"/>
                <w:lang w:val="en-US" w:eastAsia="zh-CN"/>
              </w:rPr>
              <w:t>权限内行政事业性收费（基金）的确定和调整</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1C914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035B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E21A1E">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F150B22">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8B1CA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69．污水处理费标准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B481B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4454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A6F732">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713CA8E">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59F8D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70．城乡公共管网供应的自来水（城市供水）价格</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CF771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04F0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5FBE26">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1011F94">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8A3C8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71. 管网管道燃气销售价格</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13E66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568A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D3F4E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2643D3E">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0145B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72．公共汽（电）车票价、客运出租车运价</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48D87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6496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0063BF">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DA3285C">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EF1DB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73．具有自然垄断经营和公益性特征的机动车停车设施服务收费标准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412DB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4CD6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B865DA">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6C2EF8A">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04E65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74．保障性住房物业服务收费标准、普通商品住宅前期物业服务收费标准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EC3A8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08AA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3561A9">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3798228">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0C2DA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75．保障性住房销售价格、租金标准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468F2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15B7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B56BDF">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C8BE986">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D5201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76．殡葬基本服务收费标准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F8CDE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7F41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55C356">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2E4A57B1">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CB40C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77．生活垃圾处理收费标准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09087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0E14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720544">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F5C85B9">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EC8F8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78．公立医疗机构医疗服务收费</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B590A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市医保局</w:t>
            </w:r>
          </w:p>
        </w:tc>
      </w:tr>
      <w:tr w14:paraId="45D3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0EBAE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九</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0C185E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制定开发利用、保护重要自然资源和文化资源的重大公共政策措施</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16E12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79．各类自然保护区的划定</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432E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市直相关部门</w:t>
            </w:r>
          </w:p>
        </w:tc>
      </w:tr>
      <w:tr w14:paraId="2028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770BE9">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2D6AE2A1">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5262A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80.制定保护历史文化资源的重大政策措施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82BF1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市文广体旅局</w:t>
            </w:r>
          </w:p>
        </w:tc>
      </w:tr>
      <w:tr w14:paraId="181A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AEDAF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十</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823266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行政管理体制改革</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FEF3E7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81．制定区域性行政体制改革试点方案</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1DA47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市委编办</w:t>
            </w:r>
          </w:p>
        </w:tc>
      </w:tr>
      <w:tr w14:paraId="3EBA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B85168">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CF59312">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32A2B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82．行政审批制度改革方案</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87B2B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市委编办</w:t>
            </w:r>
          </w:p>
          <w:p w14:paraId="17D2D4E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p>
        </w:tc>
      </w:tr>
      <w:tr w14:paraId="28E1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15D23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88666ED">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07C2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83．行政区划调整</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0807F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市民政局</w:t>
            </w:r>
          </w:p>
        </w:tc>
      </w:tr>
      <w:tr w14:paraId="5D73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522B2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十一</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DA4E37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重大项目</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102A5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84．对生态环境和城市功能有重大影响的政府投资项目的审批</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8C1E5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5124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405E75">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7C15D03">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47AA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85．能源、水利等重大基础设施项目和重大公益项目的上报核准或核准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46720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4025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A54E5C">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4614BF3">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5F0B8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86．石化、化工项目的上报核准或核准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84011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0EB6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D185D6">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01061EC">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100E4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87．医疗废弃物、危险废物、生活垃圾、污水处理等城建项目的核准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3EFF1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7A9F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FD9FDD">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16ECB5F">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AD701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88．经营性公墓的审批</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4C539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市民政局</w:t>
            </w:r>
          </w:p>
        </w:tc>
      </w:tr>
      <w:tr w14:paraId="72A6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2DD50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十二</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2AB2F7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水利</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073C0C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89．重大水旱灾害防治</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605CA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市水务局</w:t>
            </w:r>
          </w:p>
        </w:tc>
      </w:tr>
      <w:tr w14:paraId="3702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9BFB97">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6E4C653">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FC475B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90．病险水库的治理</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CF626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市水务局</w:t>
            </w:r>
          </w:p>
        </w:tc>
      </w:tr>
      <w:tr w14:paraId="72E3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8016E0">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FBB07B5">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01E2B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91．重大水利工程建设</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B5D8B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市水务局</w:t>
            </w:r>
          </w:p>
        </w:tc>
      </w:tr>
      <w:tr w14:paraId="0AA4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0E4C7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十三</w:t>
            </w:r>
          </w:p>
        </w:tc>
        <w:tc>
          <w:tcPr>
            <w:tcW w:w="1507" w:type="dxa"/>
            <w:tcBorders>
              <w:top w:val="nil"/>
              <w:left w:val="nil"/>
              <w:bottom w:val="single" w:color="auto" w:sz="8" w:space="0"/>
              <w:right w:val="single" w:color="auto" w:sz="8" w:space="0"/>
            </w:tcBorders>
            <w:tcMar>
              <w:top w:w="0" w:type="dxa"/>
              <w:left w:w="108" w:type="dxa"/>
              <w:bottom w:w="0" w:type="dxa"/>
              <w:right w:w="108" w:type="dxa"/>
            </w:tcMar>
            <w:vAlign w:val="center"/>
          </w:tcPr>
          <w:p w14:paraId="6C85076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农业</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19099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92．重大动物疫情的防治</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1AC35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市农业农村局</w:t>
            </w:r>
          </w:p>
        </w:tc>
      </w:tr>
      <w:tr w14:paraId="2E93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BC38E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十四</w:t>
            </w:r>
          </w:p>
        </w:tc>
        <w:tc>
          <w:tcPr>
            <w:tcW w:w="150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2A2709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交通</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249C0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93．公路、水路固定资产投资规模的确定</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03AC7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市交通运输局</w:t>
            </w:r>
          </w:p>
        </w:tc>
      </w:tr>
      <w:tr w14:paraId="2CE5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C9A953">
            <w:pPr>
              <w:rPr>
                <w:rFonts w:hint="eastAsia" w:ascii="仿宋" w:hAnsi="仿宋" w:eastAsia="仿宋" w:cs="仿宋"/>
                <w:color w:val="auto"/>
                <w:sz w:val="32"/>
                <w:szCs w:val="32"/>
              </w:rPr>
            </w:pPr>
          </w:p>
        </w:tc>
        <w:tc>
          <w:tcPr>
            <w:tcW w:w="1507"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2935FFAB">
            <w:pPr>
              <w:rPr>
                <w:rFonts w:hint="eastAsia" w:ascii="仿宋" w:hAnsi="仿宋" w:eastAsia="仿宋" w:cs="仿宋"/>
                <w:color w:val="auto"/>
                <w:sz w:val="32"/>
                <w:szCs w:val="32"/>
              </w:rPr>
            </w:pP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411F7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94．城市道路限载限行等交通管制措施（临时管制除外）</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5776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市交警大队</w:t>
            </w:r>
          </w:p>
        </w:tc>
      </w:tr>
      <w:tr w14:paraId="27E3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7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F4025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十五</w:t>
            </w:r>
          </w:p>
        </w:tc>
        <w:tc>
          <w:tcPr>
            <w:tcW w:w="1507" w:type="dxa"/>
            <w:tcBorders>
              <w:top w:val="nil"/>
              <w:left w:val="nil"/>
              <w:bottom w:val="single" w:color="auto" w:sz="8" w:space="0"/>
              <w:right w:val="single" w:color="auto" w:sz="8" w:space="0"/>
            </w:tcBorders>
            <w:tcMar>
              <w:top w:w="0" w:type="dxa"/>
              <w:left w:w="108" w:type="dxa"/>
              <w:bottom w:w="0" w:type="dxa"/>
              <w:right w:w="108" w:type="dxa"/>
            </w:tcMar>
            <w:vAlign w:val="center"/>
          </w:tcPr>
          <w:p w14:paraId="2CC9B81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城市管理</w:t>
            </w:r>
          </w:p>
        </w:tc>
        <w:tc>
          <w:tcPr>
            <w:tcW w:w="5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EA57C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95．制定市容环境卫生管理、园林绿化建设维护管理、市政公用设施运行管理等方面的重大政策措施</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D5191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bl>
    <w:p w14:paraId="0F622B5F">
      <w:pPr>
        <w:widowControl/>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 </w:t>
      </w:r>
    </w:p>
    <w:p w14:paraId="0F6294C9">
      <w:pPr>
        <w:widowControl/>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left"/>
        <w:rPr>
          <w:rFonts w:hint="eastAsia" w:ascii="仿宋" w:hAnsi="仿宋" w:eastAsia="仿宋" w:cs="仿宋"/>
          <w:color w:val="auto"/>
          <w:sz w:val="32"/>
          <w:szCs w:val="32"/>
        </w:rPr>
      </w:pPr>
    </w:p>
    <w:p w14:paraId="4EF163C4">
      <w:pPr>
        <w:widowControl/>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仿宋" w:hAnsi="仿宋" w:eastAsia="仿宋" w:cs="仿宋"/>
          <w:i w:val="0"/>
          <w:iCs w:val="0"/>
          <w:caps w:val="0"/>
          <w:color w:val="auto"/>
          <w:spacing w:val="0"/>
          <w:kern w:val="0"/>
          <w:sz w:val="32"/>
          <w:szCs w:val="32"/>
          <w:shd w:val="clear" w:color="090000" w:fill="FFFFFF"/>
          <w:lang w:val="en-US" w:eastAsia="zh-CN"/>
        </w:rPr>
      </w:pPr>
    </w:p>
    <w:p w14:paraId="59B6F4B8">
      <w:pPr>
        <w:widowControl/>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仿宋" w:hAnsi="仿宋" w:eastAsia="仿宋" w:cs="仿宋"/>
          <w:i w:val="0"/>
          <w:iCs w:val="0"/>
          <w:caps w:val="0"/>
          <w:color w:val="auto"/>
          <w:spacing w:val="0"/>
          <w:kern w:val="0"/>
          <w:sz w:val="32"/>
          <w:szCs w:val="32"/>
          <w:shd w:val="clear" w:color="090000" w:fill="FFFFFF"/>
          <w:lang w:val="en-US" w:eastAsia="zh-CN"/>
        </w:rPr>
      </w:pPr>
    </w:p>
    <w:p w14:paraId="566AE554">
      <w:pPr>
        <w:widowControl/>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仿宋" w:hAnsi="仿宋" w:eastAsia="仿宋" w:cs="仿宋"/>
          <w:i w:val="0"/>
          <w:iCs w:val="0"/>
          <w:caps w:val="0"/>
          <w:color w:val="auto"/>
          <w:spacing w:val="0"/>
          <w:kern w:val="0"/>
          <w:sz w:val="32"/>
          <w:szCs w:val="32"/>
          <w:shd w:val="clear" w:color="090000" w:fill="FFFFFF"/>
          <w:lang w:val="en-US" w:eastAsia="zh-CN"/>
        </w:rPr>
      </w:pPr>
    </w:p>
    <w:p w14:paraId="1CAD0C4C">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bookmarkStart w:id="0" w:name="_GoBack"/>
      <w:bookmarkEnd w:id="0"/>
    </w:p>
    <w:p w14:paraId="3B06BAD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7034368A">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4FEBC428">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563B1B0C">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7E044A0B">
      <w:pPr>
        <w:autoSpaceDN w:val="0"/>
        <w:spacing w:line="750" w:lineRule="atLeast"/>
        <w:ind w:firstLine="0"/>
        <w:jc w:val="both"/>
        <w:rPr>
          <w:rFonts w:hint="eastAsia" w:ascii="宋体" w:hAnsi="宋体" w:eastAsia="宋体" w:cs="宋体"/>
          <w:b/>
          <w:i w:val="0"/>
          <w:color w:val="333333"/>
          <w:sz w:val="44"/>
          <w:szCs w:val="44"/>
          <w:u w:val="none"/>
          <w:lang w:eastAsia="zh-CN"/>
        </w:rPr>
      </w:pPr>
    </w:p>
    <w:sectPr>
      <w:headerReference r:id="rId3" w:type="default"/>
      <w:footerReference r:id="rId4" w:type="default"/>
      <w:pgSz w:w="11850" w:h="16783"/>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7AF7">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8F11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08F11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98E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A26FF"/>
    <w:rsid w:val="6CEE22BF"/>
    <w:rsid w:val="706914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3322</Words>
  <Characters>3417</Characters>
  <Lines>0</Lines>
  <Paragraphs>0</Paragraphs>
  <TotalTime>4</TotalTime>
  <ScaleCrop>false</ScaleCrop>
  <LinksUpToDate>false</LinksUpToDate>
  <CharactersWithSpaces>3459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2021-09-08T02:53:00Z</dcterms:created>
  <dc:creator>lenovo</dc:creator>
  <cp:lastModifiedBy>baic</cp:lastModifiedBy>
  <cp:lastPrinted>2021-09-09T02:13:00Z</cp:lastPrinted>
  <dcterms:modified xsi:type="dcterms:W3CDTF">2025-06-27T04:50:59Z</dcterms:modified>
  <dc:title>重大行政决策程序暂行条例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B6A0807E7B484E468A075487722A20B5_13</vt:lpwstr>
  </property>
  <property fmtid="{D5CDD505-2E9C-101B-9397-08002B2CF9AE}" pid="4" name="KSOTemplateDocerSaveRecord">
    <vt:lpwstr>eyJoZGlkIjoiOGM2MTU3MjQ3NDYwOGJjNzk0ZmIzZTFiNTlkZWU5MzMiLCJ1c2VySWQiOiIxMjU3NTgxNTIzIn0=</vt:lpwstr>
  </property>
</Properties>
</file>