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F235B">
      <w:pPr>
        <w:jc w:val="center"/>
        <w:rPr>
          <w:rFonts w:hint="eastAsia" w:ascii="方正小标宋简体" w:hAnsi="方正小标宋简体" w:eastAsia="方正小标宋简体" w:cs="方正小标宋简体"/>
          <w:b w:val="0"/>
          <w:bCs w:val="0"/>
          <w:sz w:val="44"/>
          <w:szCs w:val="44"/>
          <w:lang w:val="en-US" w:eastAsia="zh-CN"/>
        </w:rPr>
      </w:pPr>
      <w:bookmarkStart w:id="0" w:name="_GoBack"/>
      <w:bookmarkEnd w:id="0"/>
      <w:r>
        <w:rPr>
          <w:rFonts w:hint="eastAsia" w:ascii="方正小标宋简体" w:hAnsi="方正小标宋简体" w:eastAsia="方正小标宋简体" w:cs="方正小标宋简体"/>
          <w:b w:val="0"/>
          <w:bCs w:val="0"/>
          <w:sz w:val="44"/>
          <w:szCs w:val="44"/>
        </w:rPr>
        <w:t>密山市2022年棚户区改造项目</w:t>
      </w:r>
      <w:r>
        <w:rPr>
          <w:rFonts w:hint="eastAsia" w:ascii="方正小标宋简体" w:hAnsi="方正小标宋简体" w:eastAsia="方正小标宋简体" w:cs="方正小标宋简体"/>
          <w:b w:val="0"/>
          <w:bCs w:val="0"/>
          <w:sz w:val="44"/>
          <w:szCs w:val="44"/>
          <w:lang w:val="en-US" w:eastAsia="zh-CN"/>
        </w:rPr>
        <w:t>二期</w:t>
      </w:r>
    </w:p>
    <w:p w14:paraId="055C3CA0">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房屋搬迁安置方案</w:t>
      </w:r>
    </w:p>
    <w:p w14:paraId="1D69267C">
      <w:pPr>
        <w:rPr>
          <w:rFonts w:hint="eastAsia"/>
        </w:rPr>
      </w:pPr>
    </w:p>
    <w:p w14:paraId="06E05654">
      <w:pPr>
        <w:rPr>
          <w:rFonts w:hint="eastAsia"/>
        </w:rPr>
      </w:pPr>
    </w:p>
    <w:p w14:paraId="03B929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为加快我市棚户区改造进程，保障搬迁工作有序推进，切实维护被搬迁人合法权益，依据《关于下达2022年棚户区改造目标任务的通知》（黑住房组办函〔2022〕1号）文件精神，结合我市实际，制定本房屋搬迁安置方案。</w:t>
      </w:r>
    </w:p>
    <w:p w14:paraId="4723F2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一、棚户区改造项目搬迁安置主体</w:t>
      </w:r>
    </w:p>
    <w:p w14:paraId="0CA3F7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default" w:ascii="Times New Roman" w:hAnsi="Times New Roman" w:eastAsia="仿宋_GB2312" w:cs="Times New Roman"/>
          <w:sz w:val="32"/>
          <w:szCs w:val="32"/>
        </w:rPr>
        <w:t>密山市人民政府</w:t>
      </w:r>
    </w:p>
    <w:p w14:paraId="2C6170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二、实施单位</w:t>
      </w:r>
    </w:p>
    <w:p w14:paraId="66CDB8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default" w:ascii="Times New Roman" w:hAnsi="Times New Roman" w:eastAsia="仿宋_GB2312" w:cs="Times New Roman"/>
          <w:sz w:val="32"/>
          <w:szCs w:val="32"/>
        </w:rPr>
        <w:t>密山市住房保障中心</w:t>
      </w:r>
    </w:p>
    <w:p w14:paraId="71355E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三、搬迁测量和补偿评估单位</w:t>
      </w:r>
    </w:p>
    <w:p w14:paraId="2C9EF9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default" w:ascii="Times New Roman" w:hAnsi="Times New Roman" w:eastAsia="仿宋_GB2312" w:cs="Times New Roman"/>
          <w:sz w:val="32"/>
          <w:szCs w:val="32"/>
        </w:rPr>
        <w:t>黑龙江拓深地理信息科技有限公司</w:t>
      </w:r>
    </w:p>
    <w:p w14:paraId="13714F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default" w:ascii="Times New Roman" w:hAnsi="Times New Roman" w:eastAsia="仿宋_GB2312" w:cs="Times New Roman"/>
          <w:sz w:val="32"/>
          <w:szCs w:val="32"/>
        </w:rPr>
        <w:t>黑龙江鑫之禾地产资产评估有限公司</w:t>
      </w:r>
    </w:p>
    <w:p w14:paraId="70E741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b w:val="0"/>
          <w:bCs w:val="0"/>
          <w:sz w:val="32"/>
          <w:szCs w:val="32"/>
        </w:rPr>
        <w:t>四、搬迁范围</w:t>
      </w:r>
    </w:p>
    <w:p w14:paraId="0CE167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按照分批次启动的原则，本次启动2022年棚户区五个地块改造项目，具体如下：</w:t>
      </w:r>
    </w:p>
    <w:p w14:paraId="3AC57B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2022-09号地块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莲花一街南、中沙友谊路东、莲花二街北侧</w:t>
      </w:r>
      <w:r>
        <w:rPr>
          <w:rFonts w:hint="eastAsia" w:ascii="Times New Roman" w:hAnsi="Times New Roman" w:eastAsia="仿宋_GB2312" w:cs="Times New Roman"/>
          <w:sz w:val="32"/>
          <w:szCs w:val="32"/>
          <w:lang w:eastAsia="zh-CN"/>
        </w:rPr>
        <w:t>）；</w:t>
      </w:r>
    </w:p>
    <w:p w14:paraId="38BCA2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eastAsia"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2022-10号地块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莲花一街南、东郊三路西、莲花中路东侧</w:t>
      </w:r>
      <w:r>
        <w:rPr>
          <w:rFonts w:hint="eastAsia" w:ascii="Times New Roman" w:hAnsi="Times New Roman" w:eastAsia="仿宋_GB2312" w:cs="Times New Roman"/>
          <w:sz w:val="32"/>
          <w:szCs w:val="32"/>
          <w:lang w:eastAsia="zh-CN"/>
        </w:rPr>
        <w:t>）；</w:t>
      </w:r>
    </w:p>
    <w:p w14:paraId="1263A9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eastAsia"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2022-11号地块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莲花一街南、莲花中路西、莲花北路东侧</w:t>
      </w:r>
      <w:r>
        <w:rPr>
          <w:rFonts w:hint="eastAsia" w:ascii="Times New Roman" w:hAnsi="Times New Roman" w:eastAsia="仿宋_GB2312" w:cs="Times New Roman"/>
          <w:sz w:val="32"/>
          <w:szCs w:val="32"/>
          <w:lang w:eastAsia="zh-CN"/>
        </w:rPr>
        <w:t>）；</w:t>
      </w:r>
    </w:p>
    <w:p w14:paraId="56656A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eastAsia"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2015-17号地块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莲花街南、东郊三路东、中沙友谊路西、莲花三街北侧</w:t>
      </w:r>
      <w:r>
        <w:rPr>
          <w:rFonts w:hint="eastAsia" w:ascii="Times New Roman" w:hAnsi="Times New Roman" w:eastAsia="仿宋_GB2312" w:cs="Times New Roman"/>
          <w:sz w:val="32"/>
          <w:szCs w:val="32"/>
          <w:lang w:eastAsia="zh-CN"/>
        </w:rPr>
        <w:t>）；</w:t>
      </w:r>
    </w:p>
    <w:p w14:paraId="02CBFA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eastAsia" w:ascii="Times New Roman" w:hAnsi="Times New Roman" w:eastAsia="仿宋_GB2312" w:cs="Times New Roman"/>
          <w:sz w:val="32"/>
          <w:szCs w:val="32"/>
          <w:lang w:eastAsia="zh-CN"/>
        </w:rPr>
        <w:t>5.</w:t>
      </w:r>
      <w:r>
        <w:rPr>
          <w:rFonts w:hint="default" w:ascii="Times New Roman" w:hAnsi="Times New Roman" w:eastAsia="仿宋_GB2312" w:cs="Times New Roman"/>
          <w:sz w:val="32"/>
          <w:szCs w:val="32"/>
        </w:rPr>
        <w:t>2011-21号地块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莲花新城北、科研南、同心东苑东</w:t>
      </w:r>
      <w:r>
        <w:rPr>
          <w:rFonts w:hint="eastAsia" w:ascii="Times New Roman" w:hAnsi="Times New Roman" w:eastAsia="仿宋_GB2312" w:cs="Times New Roman"/>
          <w:sz w:val="32"/>
          <w:szCs w:val="32"/>
          <w:lang w:eastAsia="zh-CN"/>
        </w:rPr>
        <w:t>）。</w:t>
      </w:r>
    </w:p>
    <w:p w14:paraId="1A7B78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五、搬迁对象</w:t>
      </w:r>
    </w:p>
    <w:p w14:paraId="62DE6F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default" w:ascii="Times New Roman" w:hAnsi="Times New Roman" w:eastAsia="仿宋_GB2312" w:cs="Times New Roman"/>
          <w:sz w:val="32"/>
          <w:szCs w:val="32"/>
        </w:rPr>
        <w:t>搬迁安置范围内符合搬迁安置政策的所有产权人的房屋及附属物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不含用于生产经营的房屋，如饭店、食杂店、小型作坊等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4F7C3A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b w:val="0"/>
          <w:bCs w:val="0"/>
          <w:sz w:val="32"/>
          <w:szCs w:val="32"/>
        </w:rPr>
        <w:t>六、签约日期</w:t>
      </w:r>
    </w:p>
    <w:p w14:paraId="23B369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eastAsia" w:ascii="Times New Roman" w:hAnsi="Times New Roman" w:eastAsia="仿宋_GB2312" w:cs="Times New Roman"/>
          <w:sz w:val="32"/>
          <w:szCs w:val="32"/>
          <w:lang w:eastAsia="zh-CN"/>
        </w:rPr>
        <w:t>自</w:t>
      </w:r>
      <w:r>
        <w:rPr>
          <w:rFonts w:hint="default" w:ascii="Times New Roman" w:hAnsi="Times New Roman" w:eastAsia="仿宋_GB2312" w:cs="Times New Roman"/>
          <w:sz w:val="32"/>
          <w:szCs w:val="32"/>
        </w:rPr>
        <w:t>密山市人民政府发布产权置换决定公告之日起。</w:t>
      </w:r>
    </w:p>
    <w:p w14:paraId="5C880C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b w:val="0"/>
          <w:bCs w:val="0"/>
          <w:sz w:val="32"/>
          <w:szCs w:val="32"/>
        </w:rPr>
        <w:t>七、搬迁时间</w:t>
      </w:r>
    </w:p>
    <w:p w14:paraId="24AA05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被搬迁人应自接到搬迁通知之日起7日内将原房屋腾空。</w:t>
      </w:r>
    </w:p>
    <w:p w14:paraId="0C689B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八、搬迁原则</w:t>
      </w:r>
    </w:p>
    <w:p w14:paraId="7AA000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default" w:ascii="Times New Roman" w:hAnsi="Times New Roman" w:eastAsia="仿宋_GB2312" w:cs="Times New Roman"/>
          <w:sz w:val="32"/>
          <w:szCs w:val="32"/>
        </w:rPr>
        <w:t>政府主导，个人自愿。</w:t>
      </w:r>
    </w:p>
    <w:p w14:paraId="69ACF1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b w:val="0"/>
          <w:bCs w:val="0"/>
          <w:sz w:val="32"/>
          <w:szCs w:val="32"/>
        </w:rPr>
        <w:t>九、选房顺序</w:t>
      </w:r>
    </w:p>
    <w:p w14:paraId="3AA450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sz w:val="32"/>
          <w:szCs w:val="32"/>
        </w:rPr>
      </w:pPr>
      <w:r>
        <w:rPr>
          <w:rFonts w:hint="eastAsia" w:ascii="Times New Roman" w:hAnsi="Times New Roman" w:eastAsia="仿宋_GB2312" w:cs="Times New Roman"/>
          <w:sz w:val="32"/>
          <w:szCs w:val="32"/>
          <w:lang w:eastAsia="zh-CN"/>
        </w:rPr>
        <w:t>被安置人按报名号先后顺序，先抽取顺序号，再抽取房源签。如对抽签选购的房源不满意，拒绝签订房屋安置协议书，逾期视为自动放弃选购，被搬迁安置人不再享受棚户区搬迁安置政策。</w:t>
      </w:r>
    </w:p>
    <w:p w14:paraId="5771FE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b w:val="0"/>
          <w:bCs w:val="0"/>
          <w:sz w:val="32"/>
          <w:szCs w:val="32"/>
        </w:rPr>
        <w:t>十、补偿方式和标准</w:t>
      </w:r>
    </w:p>
    <w:p w14:paraId="6CDE71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本次棚改项目仅提供产权调换补偿方式，由政府新建安置房予以安置。</w:t>
      </w:r>
    </w:p>
    <w:p w14:paraId="1BF84D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选择产权调换的被安置人住宅有照房屋，按建筑面积“征一还一，不找差价”</w:t>
      </w:r>
      <w:r>
        <w:rPr>
          <w:rFonts w:hint="eastAsia" w:ascii="Times New Roman" w:hAnsi="Times New Roman" w:eastAsia="仿宋_GB2312" w:cs="Times New Roman"/>
          <w:sz w:val="32"/>
          <w:szCs w:val="32"/>
          <w:lang w:eastAsia="zh-CN"/>
        </w:rPr>
        <w:t>执行</w:t>
      </w:r>
      <w:r>
        <w:rPr>
          <w:rFonts w:hint="default" w:ascii="Times New Roman" w:hAnsi="Times New Roman" w:eastAsia="仿宋_GB2312" w:cs="Times New Roman"/>
          <w:sz w:val="32"/>
          <w:szCs w:val="32"/>
        </w:rPr>
        <w:t>。按照被拆迁房屋建筑面积就近上靠标准户型的原则，以房屋建筑面积50平方米为基准户型</w:t>
      </w:r>
      <w:r>
        <w:rPr>
          <w:rFonts w:hint="eastAsia" w:ascii="Times New Roman" w:hAnsi="Times New Roman" w:eastAsia="仿宋_GB2312" w:cs="Times New Roman"/>
          <w:sz w:val="32"/>
          <w:szCs w:val="32"/>
          <w:lang w:eastAsia="zh-CN"/>
        </w:rPr>
        <w:t>。被拆迁有照房屋面积低于50平方米的，一律上靠至50平方米，上靠面积部分按新楼评估价格的50%结算。</w:t>
      </w:r>
      <w:r>
        <w:rPr>
          <w:rFonts w:hint="default" w:ascii="Times New Roman" w:hAnsi="Times New Roman" w:eastAsia="仿宋_GB2312" w:cs="Times New Roman"/>
          <w:sz w:val="32"/>
          <w:szCs w:val="32"/>
        </w:rPr>
        <w:t>有照房屋面积50平方米以上的，不享受上靠面积。超出上靠户型面积部分按新楼评估价格执行</w:t>
      </w:r>
      <w:r>
        <w:rPr>
          <w:rFonts w:hint="eastAsia" w:ascii="Times New Roman" w:hAnsi="Times New Roman" w:eastAsia="仿宋_GB2312" w:cs="Times New Roman"/>
          <w:sz w:val="32"/>
          <w:szCs w:val="32"/>
          <w:lang w:eastAsia="zh-CN"/>
        </w:rPr>
        <w:t>。</w:t>
      </w:r>
    </w:p>
    <w:p w14:paraId="67EEF9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产权置换后的楼房建筑面积以具备资质的房屋测绘部门核准的建筑面积为准。</w:t>
      </w:r>
    </w:p>
    <w:p w14:paraId="540912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3.产权置换楼房各项税费及手续办理，按相关部门规定执行。</w:t>
      </w:r>
    </w:p>
    <w:p w14:paraId="0CE602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rPr>
        <w:t>同一被安置人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产权人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在此区域内拥有多处产权证照的住宅房屋，</w:t>
      </w:r>
      <w:r>
        <w:rPr>
          <w:rFonts w:hint="eastAsia"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相互冲抵面积签订房屋置换协议。</w:t>
      </w:r>
    </w:p>
    <w:p w14:paraId="5E9314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w:t>
      </w:r>
      <w:r>
        <w:rPr>
          <w:rFonts w:hint="default" w:ascii="Times New Roman" w:hAnsi="Times New Roman" w:eastAsia="仿宋_GB2312" w:cs="Times New Roman"/>
          <w:sz w:val="32"/>
          <w:szCs w:val="32"/>
        </w:rPr>
        <w:t>房屋面积达到95平方米以上，且根据家庭人口状况和生活需要确需分户的，综合房屋面积和产权调换房屋设计户型面积情况</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可选择分户安置两个以上户型。</w:t>
      </w:r>
    </w:p>
    <w:p w14:paraId="2D9CBD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6.</w:t>
      </w:r>
      <w:r>
        <w:rPr>
          <w:rFonts w:hint="default" w:ascii="Times New Roman" w:hAnsi="Times New Roman" w:eastAsia="仿宋_GB2312" w:cs="Times New Roman"/>
          <w:sz w:val="32"/>
          <w:szCs w:val="32"/>
        </w:rPr>
        <w:t>对违法建筑和超过批准期限的临时建筑不予补偿。</w:t>
      </w:r>
    </w:p>
    <w:p w14:paraId="41A469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7.住宅用于从事营业活动，具有工商营业执照、正在营业且有经营收入的，给予6个月的营业损失补偿。营业损失补偿参照纳税人在税务机关的申报收入，按照行业利润测算结果予以补偿，房屋按住宅房屋安置补偿。</w:t>
      </w:r>
    </w:p>
    <w:p w14:paraId="29811D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8.</w:t>
      </w:r>
      <w:r>
        <w:rPr>
          <w:rFonts w:hint="default" w:ascii="Times New Roman" w:hAnsi="Times New Roman" w:eastAsia="仿宋_GB2312" w:cs="Times New Roman"/>
          <w:sz w:val="32"/>
          <w:szCs w:val="32"/>
        </w:rPr>
        <w:t>建筑物、构筑物、装饰、装修及附属物的补偿</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按估价机构作出的评估价格予以补偿。</w:t>
      </w:r>
    </w:p>
    <w:p w14:paraId="7631FE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sz w:val="32"/>
          <w:szCs w:val="32"/>
          <w:lang w:eastAsia="zh-CN"/>
        </w:rPr>
        <w:t>9.搬家费补偿：选择产权调换的每户补偿1000元。</w:t>
      </w:r>
    </w:p>
    <w:p w14:paraId="77FCC9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十一、对弱势群体的扶助政策</w:t>
      </w:r>
    </w:p>
    <w:p w14:paraId="668B83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Arial" w:hAnsi="Arial" w:eastAsia="宋体" w:cs="Arial"/>
          <w:snapToGrid w:val="0"/>
          <w:color w:val="000000"/>
          <w:kern w:val="0"/>
          <w:sz w:val="32"/>
          <w:szCs w:val="32"/>
          <w:lang w:val="en-US" w:eastAsia="zh-CN" w:bidi="ar-SA"/>
        </w:rPr>
      </w:pPr>
      <w:r>
        <w:rPr>
          <w:rFonts w:hint="default" w:ascii="Times New Roman" w:hAnsi="Times New Roman" w:eastAsia="仿宋_GB2312" w:cs="Times New Roman"/>
          <w:sz w:val="32"/>
          <w:szCs w:val="32"/>
        </w:rPr>
        <w:t>搬迁安置人为</w:t>
      </w:r>
      <w:r>
        <w:rPr>
          <w:rFonts w:hint="eastAsia" w:ascii="Times New Roman" w:hAnsi="Times New Roman" w:eastAsia="仿宋_GB2312" w:cs="Times New Roman"/>
          <w:sz w:val="32"/>
          <w:szCs w:val="32"/>
          <w:lang w:eastAsia="zh-CN"/>
        </w:rPr>
        <w:t>无其他</w:t>
      </w:r>
      <w:r>
        <w:rPr>
          <w:rFonts w:hint="default" w:ascii="Times New Roman" w:hAnsi="Times New Roman" w:eastAsia="仿宋_GB2312" w:cs="Times New Roman"/>
          <w:sz w:val="32"/>
          <w:szCs w:val="32"/>
        </w:rPr>
        <w:t>住处的低保户或残疾人家庭户，经调查核实</w:t>
      </w:r>
      <w:r>
        <w:rPr>
          <w:rFonts w:hint="eastAsia" w:ascii="Times New Roman" w:hAnsi="Times New Roman" w:eastAsia="仿宋_GB2312" w:cs="Times New Roman"/>
          <w:sz w:val="32"/>
          <w:szCs w:val="32"/>
          <w:lang w:eastAsia="zh-CN"/>
        </w:rPr>
        <w:t>确无</w:t>
      </w:r>
      <w:r>
        <w:rPr>
          <w:rFonts w:hint="default" w:ascii="Times New Roman" w:hAnsi="Times New Roman" w:eastAsia="仿宋_GB2312" w:cs="Times New Roman"/>
          <w:sz w:val="32"/>
          <w:szCs w:val="32"/>
        </w:rPr>
        <w:t>能力交纳上靠50平方米户型款的，回迁房屋可实行产权共有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公有产权部分由住房保障部门参照廉租房政策统一管理，由搬迁安置人居住。</w:t>
      </w:r>
    </w:p>
    <w:p w14:paraId="418FD1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十二、房屋所有权人在交付房屋时应保证房屋设施齐全、完整</w:t>
      </w:r>
      <w:r>
        <w:rPr>
          <w:rFonts w:hint="eastAsia" w:ascii="黑体" w:hAnsi="黑体" w:eastAsia="黑体" w:cs="黑体"/>
          <w:b w:val="0"/>
          <w:bCs w:val="0"/>
          <w:sz w:val="32"/>
          <w:szCs w:val="32"/>
          <w:lang w:eastAsia="zh-CN"/>
        </w:rPr>
        <w:t>，并</w:t>
      </w:r>
      <w:r>
        <w:rPr>
          <w:rFonts w:hint="eastAsia" w:ascii="黑体" w:hAnsi="黑体" w:eastAsia="黑体" w:cs="黑体"/>
          <w:b w:val="0"/>
          <w:bCs w:val="0"/>
          <w:sz w:val="32"/>
          <w:szCs w:val="32"/>
        </w:rPr>
        <w:t>应当结清水、电等费用。</w:t>
      </w:r>
    </w:p>
    <w:p w14:paraId="0E83C6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十三、房屋所有权人如需对房屋产权证照更名、过户的，</w:t>
      </w:r>
      <w:r>
        <w:rPr>
          <w:rFonts w:hint="eastAsia" w:ascii="黑体" w:hAnsi="黑体" w:eastAsia="黑体" w:cs="黑体"/>
          <w:b w:val="0"/>
          <w:bCs w:val="0"/>
          <w:sz w:val="32"/>
          <w:szCs w:val="32"/>
          <w:lang w:eastAsia="zh-CN"/>
        </w:rPr>
        <w:t>应在</w:t>
      </w:r>
      <w:r>
        <w:rPr>
          <w:rFonts w:hint="eastAsia" w:ascii="黑体" w:hAnsi="黑体" w:eastAsia="黑体" w:cs="黑体"/>
          <w:b w:val="0"/>
          <w:bCs w:val="0"/>
          <w:sz w:val="32"/>
          <w:szCs w:val="32"/>
        </w:rPr>
        <w:t>签订协议和房屋拆除前办理相关手续，签订协议和房屋拆除后不予办理。</w:t>
      </w:r>
    </w:p>
    <w:p w14:paraId="67702D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十四、房屋所有权人在签订房屋搬迁安置协议书时，须由房屋所有权人或具有合法手续的委托人签订。</w:t>
      </w:r>
    </w:p>
    <w:p w14:paraId="0B4883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十五、被搬迁安置人不得在搬迁范围内实施不当增加费用的行为。</w:t>
      </w:r>
    </w:p>
    <w:p w14:paraId="7E7047E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b w:val="0"/>
          <w:bCs w:val="0"/>
          <w:sz w:val="32"/>
          <w:szCs w:val="32"/>
        </w:rPr>
        <w:t>十六、法律责任</w:t>
      </w:r>
    </w:p>
    <w:p w14:paraId="2B8A31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房屋产权置换工作关系民生福祉，相关居民应予以积极配合。对以暴力、威胁等手段阻碍依法开展的房屋产权置换工作的行为，构成犯罪的，依法追究刑事责任；尚不构成犯罪、但违反治安管理规定的，依法予以治安管理处罚。</w:t>
      </w:r>
    </w:p>
    <w:p w14:paraId="03A441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b w:val="0"/>
          <w:bCs w:val="0"/>
          <w:sz w:val="32"/>
          <w:szCs w:val="32"/>
        </w:rPr>
        <w:t>十七、本方案未尽事宜，按国家有关</w:t>
      </w:r>
      <w:r>
        <w:rPr>
          <w:rFonts w:hint="eastAsia" w:ascii="黑体" w:hAnsi="黑体" w:eastAsia="黑体" w:cs="黑体"/>
          <w:b w:val="0"/>
          <w:bCs w:val="0"/>
          <w:sz w:val="32"/>
          <w:szCs w:val="32"/>
          <w:lang w:eastAsia="zh-CN"/>
        </w:rPr>
        <w:t>法律法规执行</w:t>
      </w:r>
      <w:r>
        <w:rPr>
          <w:rFonts w:hint="eastAsia" w:ascii="黑体" w:hAnsi="黑体" w:eastAsia="黑体" w:cs="黑体"/>
          <w:b w:val="0"/>
          <w:bCs w:val="0"/>
          <w:sz w:val="32"/>
          <w:szCs w:val="32"/>
        </w:rPr>
        <w:t>。</w:t>
      </w:r>
    </w:p>
    <w:p w14:paraId="233122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default" w:ascii="Times New Roman" w:hAnsi="Times New Roman" w:eastAsia="仿宋_GB2312" w:cs="Times New Roman"/>
          <w:sz w:val="32"/>
          <w:szCs w:val="32"/>
        </w:rPr>
      </w:pPr>
    </w:p>
    <w:p w14:paraId="4BCA03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z w:val="32"/>
          <w:szCs w:val="32"/>
        </w:rPr>
      </w:pPr>
    </w:p>
    <w:p w14:paraId="42591D8E">
      <w:pPr>
        <w:keepNext w:val="0"/>
        <w:keepLines w:val="0"/>
        <w:pageBreakBefore w:val="0"/>
        <w:widowControl w:val="0"/>
        <w:kinsoku/>
        <w:wordWrap/>
        <w:overflowPunct/>
        <w:topLinePunct w:val="0"/>
        <w:autoSpaceDE/>
        <w:autoSpaceDN/>
        <w:bidi w:val="0"/>
        <w:adjustRightInd/>
        <w:snapToGrid/>
        <w:spacing w:line="560" w:lineRule="exact"/>
        <w:jc w:val="both"/>
        <w:textAlignment w:val="baseline"/>
        <w:rPr>
          <w:sz w:val="32"/>
          <w:szCs w:val="32"/>
        </w:rPr>
      </w:pPr>
    </w:p>
    <w:sectPr>
      <w:footerReference r:id="rId5" w:type="default"/>
      <w:pgSz w:w="12240" w:h="15840"/>
      <w:pgMar w:top="1701" w:right="1417" w:bottom="1417" w:left="1417" w:header="0" w:footer="85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D1CB5">
    <w:pPr>
      <w:spacing w:before="1" w:line="164" w:lineRule="auto"/>
      <w:jc w:val="right"/>
      <w:rPr>
        <w:rFonts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8337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98337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4F77E0"/>
    <w:rsid w:val="064F77E0"/>
    <w:rsid w:val="07ED7F03"/>
    <w:rsid w:val="18DF642A"/>
    <w:rsid w:val="199A307A"/>
    <w:rsid w:val="23945594"/>
    <w:rsid w:val="24290AE3"/>
    <w:rsid w:val="29465F48"/>
    <w:rsid w:val="2D0F3C6F"/>
    <w:rsid w:val="2E9B66CC"/>
    <w:rsid w:val="33A4522B"/>
    <w:rsid w:val="3DC23FD3"/>
    <w:rsid w:val="4EEF222A"/>
    <w:rsid w:val="50D47992"/>
    <w:rsid w:val="56F72B1A"/>
    <w:rsid w:val="61A513A5"/>
    <w:rsid w:val="767FB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dd77f2d1-b0d0-4fa3-b6f5-8d887916b15a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4F24135</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df751c28-708b-4963-a00d-14d2d8151eb3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4F24135</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0bb54fad-c694-4015-8158-e1d77a6e8a82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4F24135</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9318f349-ae4f-4419-bc37-ad1e84d26ee0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EB09767</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5fdae28b-dad1-4b32-ad55-4e23223eaed4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EB09767</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153fd790-46f4-49dd-bb5b-2fc4ce4ebbd8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EB09767</paraID>
      <start xmlns="http://schemas.wps.cn/vas-ai-hub/contract-review">31</start>
      <end xmlns="http://schemas.wps.cn/vas-ai-hub/contract-review">32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8aa569fd-20bb-48c5-afb5-1a712468f179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6975AB1</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73465262-4352-4a79-9167-8860233e0eda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6975AB1</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4c7e6084-04a6-4e8c-ada5-195f981a6337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6975AB1</paraID>
      <start xmlns="http://schemas.wps.cn/vas-ai-hub/contract-review">31</start>
      <end xmlns="http://schemas.wps.cn/vas-ai-hub/contract-review">32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71241bf7-ba9a-40be-962f-8b6d8d46b508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5A84CE04</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6a82b60f-b68b-473e-89a8-bea2c0ba9d9b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5A84CE04</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03f01be8-449a-4542-a1d4-649af16481ac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5A84CE04</paraID>
      <start xmlns="http://schemas.wps.cn/vas-ai-hub/contract-review">37</start>
      <end xmlns="http://schemas.wps.cn/vas-ai-hub/contract-review">38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bd414721-42d7-469a-8a3e-ab8d8d0ae41f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2A2028F8</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081638f6-491a-447e-aebd-e8b8205e2adb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2A2028F8</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73e17481-dcad-49b9-9585-e402bf974550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2A2028F8</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3a781978-c476-42b6-8b3f-81997173a7b3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DC675DB</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eed177b2-6893-4c5a-a92c-6d991b2b4aa8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DC675DB</paraID>
      <start xmlns="http://schemas.wps.cn/vas-ai-hub/contract-review">55</start>
      <end xmlns="http://schemas.wps.cn/vas-ai-hub/contract-review">56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6087fe49-24c0-458d-ad71-be7a9d511590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4E8F7477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6297dfdb-3651-4388-bd94-491287ddc7ac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71DBA609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31f5bdea-b761-44fd-b3b7-ded65afb0305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1B84F5F7</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f652d66f-fd5e-49cc-bc74-c44e79fc561e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4090B49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060c7e2b-0cc9-4559-8529-afe9f8bdc09e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4090B49</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a933b25e-e1a3-4099-b224-fdac09d28d63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4090B49</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2f513247-124f-4612-acc4-3645399eaf90</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121B950C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5157a06c-6f0c-4f9d-a633-a59d04d11109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29256489</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86542688-5ef0-442b-b5fb-37a07e880bfe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63E120FA</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c26eaca4-f160-4ca5-bbf9-12aec80cd5b8</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5F3F0798</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1a9a3a1a-ec3e-4e94-a28e-04bb35a2f4f4</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5D2F31A4</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bd09d7e1-b13c-4dcb-8942-9c9853141352</errorID>
      <errorWord xmlns="http://schemas.wps.cn/vas-ai-hub/contract-review">无其它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无其他</item>
      </candidateList>
      <explain xmlns="http://schemas.wps.cn/vas-ai-hub/contract-review">词汇[无其它]为不规范表述或旧称，其规范书面表述为[无其他]。</explain>
      <paraID xmlns="http://schemas.wps.cn/vas-ai-hub/contract-review">1420D7A6</paraID>
      <start xmlns="http://schemas.wps.cn/vas-ai-hub/contract-review">6</start>
      <end xmlns="http://schemas.wps.cn/vas-ai-hub/contract-review">9</end>
      <status xmlns="http://schemas.wps.cn/vas-ai-hub/contract-review">modified</status>
      <modifiedWord xmlns="http://schemas.wps.cn/vas-ai-hub/contract-review">无其他</modifiedWord>
      <trackRevisions xmlns="http://schemas.wps.cn/vas-ai-hub/contract-review">false</trackRevisions>
    </reviewItem>
    <reviewItem xmlns="http://schemas.wps.cn/vas-ai-hub/contract-review">
      <errorID xmlns="http://schemas.wps.cn/vas-ai-hub/contract-review">3fffd2fa-5a00-4061-81e4-169240e7c1c8</errorID>
      <errorWord xmlns="http://schemas.wps.cn/vas-ai-hub/contract-review">法律、法规执行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法律法规执行</item>
      </candidateList>
      <explain xmlns="http://schemas.wps.cn/vas-ai-hub/contract-review"/>
      <paraID xmlns="http://schemas.wps.cn/vas-ai-hub/contract-review">3ED1FC4E</paraID>
      <start xmlns="http://schemas.wps.cn/vas-ai-hub/contract-review">16</start>
      <end xmlns="http://schemas.wps.cn/vas-ai-hub/contract-review">22</end>
      <status xmlns="http://schemas.wps.cn/vas-ai-hub/contract-review">modified</status>
      <modifiedWord xmlns="http://schemas.wps.cn/vas-ai-hub/contract-review">法律法规执行</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f3e276-6ff0-428d-877c-90a7d9c12101}">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1563</Words>
  <Characters>1635</Characters>
  <Lines>0</Lines>
  <Paragraphs>0</Paragraphs>
  <TotalTime>17</TotalTime>
  <ScaleCrop>false</ScaleCrop>
  <LinksUpToDate>false</LinksUpToDate>
  <CharactersWithSpaces>1635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2026-08-17T09:47:00Z</dcterms:created>
  <dc:creator>人不如故</dc:creator>
  <cp:lastModifiedBy>greatwall</cp:lastModifiedBy>
  <cp:lastPrinted>2026-08-27T09:34:00Z</cp:lastPrinted>
  <dcterms:modified xsi:type="dcterms:W3CDTF">2026-09-07T10:21:51Z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13393A02AC61BA7EBF1F9E6AAC23F33A_43</vt:lpwstr>
  </property>
  <property fmtid="{D5CDD505-2E9C-101B-9397-08002B2CF9AE}" pid="4" name="KSOTemplateDocerSaveRecord">
    <vt:lpwstr>eyJoZGlkIjoiYmMwNGUyYTRhOTU3N2Q2ZjQyN2JhNjNjODRhM2Y5ZmUiLCJ1c2VySWQiOiIyMDQzNDI3NjAifQ==</vt:lpwstr>
  </property>
</Properties>
</file>